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483B04ED" w:rsidR="005F739D" w:rsidRPr="007778A1" w:rsidRDefault="005F739D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საკანცელარიო საქონლის შესყიდვა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483B04ED" w:rsidR="005F739D" w:rsidRPr="007778A1" w:rsidRDefault="005F739D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საკანცელარიო საქონლის შესყიდვა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766469B2" w:rsidR="005F739D" w:rsidRPr="00750F9A" w:rsidRDefault="008C321C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246FF2">
                                        <w:rPr>
                                          <w:lang w:val="ka-GE"/>
                                        </w:rPr>
                                        <w:t>5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F739D">
                                        <w:t>მაისი</w:t>
                                      </w:r>
                                      <w:proofErr w:type="spellEnd"/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45CF0D9C" w:rsidR="005F739D" w:rsidRPr="00750F9A" w:rsidRDefault="008C321C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246FF2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 ივნისი, 2020 (17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8E2BDA" w:rsidP="009E06FA">
                                      <w:hyperlink r:id="rId9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766469B2" w:rsidR="005F739D" w:rsidRPr="00750F9A" w:rsidRDefault="008C321C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246FF2">
                                  <w:rPr>
                                    <w:lang w:val="ka-GE"/>
                                  </w:rPr>
                                  <w:t>5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5F739D">
                                  <w:t>მაისი</w:t>
                                </w:r>
                                <w:proofErr w:type="spellEnd"/>
                                <w:r w:rsidR="005F739D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45CF0D9C" w:rsidR="005F739D" w:rsidRPr="00750F9A" w:rsidRDefault="008C321C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246FF2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 ივნისი, 2020 (17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8E2BDA" w:rsidP="009E06FA">
                                <w:hyperlink r:id="rId10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25535F9E" w14:textId="1065C288" w:rsidR="001812F0" w:rsidRPr="009C330E" w:rsidRDefault="000437AF" w:rsidP="0000523F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>
        <w:rPr>
          <w:rFonts w:cs="Sylfaen"/>
          <w:b/>
          <w:color w:val="auto"/>
          <w:sz w:val="32"/>
          <w:szCs w:val="56"/>
          <w:lang w:val="ka-GE"/>
        </w:rPr>
        <w:t>საკანცელარიო საქონლის შესყიდვა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8E2B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8E2B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461E944E" w:rsidR="00B87FD3" w:rsidRDefault="008E2B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B87FD3" w:rsidRPr="00865AEA">
              <w:rPr>
                <w:rStyle w:val="Hyperlink"/>
                <w:rFonts w:cs="Sylfaen"/>
                <w:noProof/>
              </w:rPr>
              <w:t>სპეციფიკაციები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და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ფასების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ცხრილი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55F950A1" w:rsidR="00B87FD3" w:rsidRDefault="008E2BD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N2: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35AF4D9" w14:textId="5700B21A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0437AF">
        <w:rPr>
          <w:rFonts w:eastAsiaTheme="minorEastAsia" w:cs="Sylfaen"/>
          <w:lang w:val="ka-GE" w:eastAsia="ja-JP"/>
        </w:rPr>
        <w:t>საკანცელარიო საქონლის შესყიდვაზე</w:t>
      </w:r>
      <w:r w:rsidR="00337E6D"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611FA04C" w:rsidR="00C94D0C" w:rsidRPr="009C330E" w:rsidRDefault="00C94D0C" w:rsidP="00C525A4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N1:</w:t>
      </w:r>
    </w:p>
    <w:p w14:paraId="4F965835" w14:textId="4411CBAB" w:rsidR="001F2619" w:rsidRDefault="00C525A4" w:rsidP="007F171C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E0672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- </w:t>
      </w: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1</w:t>
      </w:r>
      <w:r w:rsidR="007E0672" w:rsidRPr="009C330E">
        <w:rPr>
          <w:rFonts w:ascii="Times New Roman" w:eastAsiaTheme="minorEastAsia" w:hAnsi="Times New Roman" w:cs="Times New Roman"/>
          <w:lang w:val="ka-GE" w:eastAsia="ja-JP"/>
        </w:rPr>
        <w:t>;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ტენდერში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მონაწილემ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სისტემაში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უნდა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დააფიქსიროს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დანართ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2D0D02" w:rsidRPr="000437AF">
        <w:rPr>
          <w:rFonts w:ascii="Times New Roman" w:eastAsiaTheme="minorEastAsia" w:hAnsi="Times New Roman" w:cs="Times New Roman"/>
          <w:lang w:val="ka-GE" w:eastAsia="ja-JP"/>
        </w:rPr>
        <w:t>N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>1-</w:t>
      </w:r>
      <w:r w:rsidR="00CA6053" w:rsidRPr="000437AF">
        <w:rPr>
          <w:rFonts w:eastAsiaTheme="minorEastAsia" w:cs="Sylfaen"/>
          <w:lang w:val="ka-GE" w:eastAsia="ja-JP"/>
        </w:rPr>
        <w:t>ში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lang w:val="ka-GE" w:eastAsia="ja-JP"/>
        </w:rPr>
        <w:t>მიღებული</w:t>
      </w:r>
      <w:r w:rsidR="00CA6053" w:rsidRPr="000437AF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437AF">
        <w:rPr>
          <w:rFonts w:eastAsiaTheme="minorEastAsia" w:cs="Sylfaen"/>
          <w:u w:val="single"/>
          <w:lang w:val="ka-GE" w:eastAsia="ja-JP"/>
        </w:rPr>
        <w:t>ჯამური</w:t>
      </w:r>
      <w:r w:rsidR="00CA6053" w:rsidRPr="000437AF">
        <w:rPr>
          <w:rFonts w:ascii="Times New Roman" w:eastAsiaTheme="minorEastAsia" w:hAnsi="Times New Roman" w:cs="Times New Roman"/>
          <w:u w:val="single"/>
          <w:lang w:val="ka-GE" w:eastAsia="ja-JP"/>
        </w:rPr>
        <w:t xml:space="preserve"> </w:t>
      </w:r>
      <w:r w:rsidR="00F14D6A" w:rsidRPr="000437AF">
        <w:rPr>
          <w:rFonts w:eastAsiaTheme="minorEastAsia" w:cs="Sylfaen"/>
          <w:u w:val="single"/>
          <w:lang w:val="ka-GE" w:eastAsia="ja-JP"/>
        </w:rPr>
        <w:t>სატენდერო</w:t>
      </w:r>
      <w:r w:rsidR="00F14D6A" w:rsidRPr="000437AF">
        <w:rPr>
          <w:rFonts w:ascii="Times New Roman" w:eastAsiaTheme="minorEastAsia" w:hAnsi="Times New Roman" w:cs="Times New Roman"/>
          <w:u w:val="single"/>
          <w:lang w:val="ka-GE" w:eastAsia="ja-JP"/>
        </w:rPr>
        <w:t xml:space="preserve"> </w:t>
      </w:r>
      <w:r w:rsidR="00CA6053" w:rsidRPr="000437AF">
        <w:rPr>
          <w:rFonts w:eastAsiaTheme="minorEastAsia" w:cs="Sylfaen"/>
          <w:u w:val="single"/>
          <w:lang w:val="ka-GE" w:eastAsia="ja-JP"/>
        </w:rPr>
        <w:t>ფას</w:t>
      </w:r>
      <w:r w:rsidR="000437AF">
        <w:rPr>
          <w:rFonts w:eastAsiaTheme="minorEastAsia" w:cs="Sylfaen"/>
          <w:u w:val="single"/>
          <w:lang w:val="ka-GE" w:eastAsia="ja-JP"/>
        </w:rPr>
        <w:t>ი</w:t>
      </w:r>
      <w:r w:rsidR="000437AF" w:rsidRPr="000437AF">
        <w:rPr>
          <w:rFonts w:eastAsiaTheme="minorEastAsia" w:cs="Sylfaen"/>
          <w:lang w:val="ka-GE" w:eastAsia="ja-JP"/>
        </w:rPr>
        <w:t>, ანუ სავარაუდო საკონტრაქტო ღირებულება.</w:t>
      </w:r>
    </w:p>
    <w:p w14:paraId="5A559EC1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439A8393" w14:textId="3B958AAD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="00127BFD">
        <w:rPr>
          <w:rFonts w:eastAsiaTheme="minorEastAsia" w:cs="Sylfaen"/>
          <w:lang w:val="ka-GE" w:eastAsia="ja-JP"/>
        </w:rPr>
        <w:t xml:space="preserve">დანართ N1-ში არსებული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7A4088">
        <w:rPr>
          <w:rFonts w:eastAsiaTheme="minorEastAsia" w:cs="Sylfaen"/>
          <w:lang w:val="ka-GE" w:eastAsia="ja-JP"/>
        </w:rPr>
        <w:t>3’0</w:t>
      </w:r>
      <w:r>
        <w:rPr>
          <w:rFonts w:eastAsiaTheme="minorEastAsia" w:cs="Sylfaen"/>
          <w:lang w:val="ka-GE" w:eastAsia="ja-JP"/>
        </w:rPr>
        <w:t>00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36B6DB67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ყველა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6C7A7D04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9C330E">
        <w:rPr>
          <w:rFonts w:cs="Sylfaen"/>
          <w:lang w:val="ka-GE"/>
        </w:rPr>
        <w:t>დანართ</w:t>
      </w:r>
      <w:r w:rsidR="00726E0B" w:rsidRPr="009C330E">
        <w:rPr>
          <w:rFonts w:ascii="Times New Roman" w:hAnsi="Times New Roman" w:cs="Times New Roman"/>
          <w:lang w:val="ka-GE"/>
        </w:rPr>
        <w:t xml:space="preserve"> N1-</w:t>
      </w:r>
      <w:r w:rsidR="00726E0B" w:rsidRPr="009C330E">
        <w:rPr>
          <w:rFonts w:cs="Sylfaen"/>
          <w:lang w:val="ka-GE"/>
        </w:rPr>
        <w:t>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5"/>
      <w:bookmarkEnd w:id="6"/>
    </w:p>
    <w:p w14:paraId="08616DB9" w14:textId="13809865" w:rsidR="00B8474F" w:rsidRPr="00DC56FA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065F70" w:rsidRPr="009C330E">
        <w:rPr>
          <w:rFonts w:ascii="Times New Roman" w:hAnsi="Times New Roman" w:cs="Times New Roman"/>
          <w:lang w:val="ka-GE"/>
        </w:rPr>
        <w:t xml:space="preserve"> - </w:t>
      </w:r>
      <w:r w:rsidR="00DC56FA">
        <w:rPr>
          <w:rFonts w:cs="Sylfaen"/>
          <w:lang w:val="ka-GE"/>
        </w:rPr>
        <w:t>ურეკის ქუჩა N2, საქართველოს ბან</w:t>
      </w:r>
      <w:r w:rsidR="00ED3A74">
        <w:rPr>
          <w:rFonts w:cs="Sylfaen"/>
          <w:lang w:val="ka-GE"/>
        </w:rPr>
        <w:t>კ</w:t>
      </w:r>
      <w:r w:rsidR="00DC56FA">
        <w:rPr>
          <w:rFonts w:cs="Sylfaen"/>
          <w:lang w:val="ka-GE"/>
        </w:rPr>
        <w:t>ის ცენტრალური საწყობი.</w:t>
      </w:r>
    </w:p>
    <w:p w14:paraId="150D2C92" w14:textId="554F6ADD" w:rsidR="005F739D" w:rsidRPr="00982911" w:rsidRDefault="005F739D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 xml:space="preserve">შეკვეთის განთავსება: </w:t>
      </w:r>
      <w:r>
        <w:rPr>
          <w:rFonts w:cs="Sylfaen"/>
          <w:lang w:val="ka-GE"/>
        </w:rPr>
        <w:t xml:space="preserve">თვეში ერთხელ </w:t>
      </w:r>
      <w:r w:rsidR="005431F9">
        <w:rPr>
          <w:rFonts w:cs="Sylfaen"/>
          <w:lang w:val="ka-GE"/>
        </w:rPr>
        <w:t xml:space="preserve">ბანკი კონტრაქტორს გაუგზავნის ექსელის ფაილს, სადაც მოცემული იქნება ობიექტების ჩამონათვალი და შესასყიდი საკანცელარიო საქონლის რაოდენობა. </w:t>
      </w:r>
      <w:r>
        <w:rPr>
          <w:rFonts w:cs="Sylfaen"/>
          <w:lang w:val="ka-GE"/>
        </w:rPr>
        <w:t>ასევე შესაძლებელია</w:t>
      </w:r>
      <w:r w:rsidR="009F1AC4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თვის განმავლობაში</w:t>
      </w:r>
      <w:r w:rsidR="009F1AC4">
        <w:rPr>
          <w:rFonts w:cs="Sylfaen"/>
          <w:lang w:val="ka-GE"/>
        </w:rPr>
        <w:t xml:space="preserve"> რამდენჯერმე,</w:t>
      </w:r>
      <w:r>
        <w:rPr>
          <w:rFonts w:cs="Sylfaen"/>
          <w:lang w:val="ka-GE"/>
        </w:rPr>
        <w:t xml:space="preserve"> </w:t>
      </w:r>
      <w:r w:rsidR="009F1AC4">
        <w:rPr>
          <w:rFonts w:cs="Sylfaen"/>
          <w:lang w:val="ka-GE"/>
        </w:rPr>
        <w:t>ბანკის მხრიდან განხორციელდეს მცირე მასშტაბის შეკვეთები სხვადასხვა სახის საკანცელარიო საქონელზე.</w:t>
      </w:r>
    </w:p>
    <w:p w14:paraId="2BB43D42" w14:textId="7E91D93E" w:rsidR="00982911" w:rsidRPr="00982911" w:rsidRDefault="00982911" w:rsidP="0098291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მიწოდების ტიპი:</w:t>
      </w:r>
      <w:r>
        <w:rPr>
          <w:rFonts w:asciiTheme="minorHAnsi" w:hAnsiTheme="minorHAnsi" w:cs="Times New Roman"/>
          <w:lang w:val="ka-GE"/>
        </w:rPr>
        <w:t xml:space="preserve"> </w:t>
      </w:r>
      <w:r w:rsidRPr="005F739D">
        <w:rPr>
          <w:rFonts w:cs="Sylfaen"/>
          <w:lang w:val="ka-GE"/>
        </w:rPr>
        <w:t xml:space="preserve">მიწოდება უნდა მოხდეს </w:t>
      </w:r>
      <w:r w:rsidR="005431F9">
        <w:rPr>
          <w:rFonts w:cs="Sylfaen"/>
          <w:lang w:val="ka-GE"/>
        </w:rPr>
        <w:t xml:space="preserve">ბანკის ერთ მისამართზე (საწყობში), </w:t>
      </w:r>
      <w:r w:rsidRPr="005F739D">
        <w:rPr>
          <w:rFonts w:cs="Sylfaen"/>
          <w:lang w:val="ka-GE"/>
        </w:rPr>
        <w:t xml:space="preserve">დახარისხებულად ობიექტების მიხედვით, </w:t>
      </w:r>
      <w:r>
        <w:rPr>
          <w:rFonts w:cs="Sylfaen"/>
          <w:lang w:val="ka-GE"/>
        </w:rPr>
        <w:t>თითოეულ დახარისხებულ შეკვრას უნდა ჰქონდეს წარწერა შესაბამისი ობიექტის მითითებით.</w:t>
      </w:r>
    </w:p>
    <w:p w14:paraId="27C2A722" w14:textId="25299E84" w:rsidR="00DC56FA" w:rsidRPr="00F71ADB" w:rsidRDefault="00DC56FA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ვადა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F739D">
        <w:rPr>
          <w:rFonts w:cs="Sylfaen"/>
          <w:lang w:val="ka-GE"/>
        </w:rPr>
        <w:t xml:space="preserve">შეკვეთის მიწოდება უნდა განხორციელდეს </w:t>
      </w:r>
      <w:r w:rsidR="00DD5AF9">
        <w:rPr>
          <w:rFonts w:cs="Sylfaen"/>
          <w:lang w:val="ka-GE"/>
        </w:rPr>
        <w:t xml:space="preserve">არაუგვიანეს </w:t>
      </w:r>
      <w:r w:rsidR="005F739D">
        <w:rPr>
          <w:rFonts w:cs="Sylfaen"/>
          <w:lang w:val="ka-GE"/>
        </w:rPr>
        <w:t>შეკვეთის განთავსებიდან 10 (ათი) კალენდარული დღის ვადაში.</w:t>
      </w:r>
    </w:p>
    <w:p w14:paraId="7E0E3B1D" w14:textId="41256D23" w:rsidR="00F71ADB" w:rsidRPr="009C330E" w:rsidRDefault="00F71ADB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ნიმუშების წარმოდგენა:</w:t>
      </w:r>
      <w:r>
        <w:rPr>
          <w:rFonts w:asciiTheme="minorHAnsi" w:hAnsiTheme="minorHAnsi" w:cs="Times New Roman"/>
          <w:lang w:val="ka-GE"/>
        </w:rPr>
        <w:t xml:space="preserve"> </w:t>
      </w:r>
      <w:r w:rsidR="00C631BF">
        <w:rPr>
          <w:rFonts w:cs="Sylfaen"/>
          <w:lang w:val="ka-GE"/>
        </w:rPr>
        <w:t>ბანკის მოთხოვნის შემთხვევაში პრეტენდენტმა უნდა წარმოადგინოს ნიმუშები 2 მისამართზე: ურეკის ქ.N2 და გა</w:t>
      </w:r>
      <w:r w:rsidR="00750CA4">
        <w:rPr>
          <w:rFonts w:cs="Sylfaen"/>
          <w:lang w:val="ka-GE"/>
        </w:rPr>
        <w:t>გ</w:t>
      </w:r>
      <w:r w:rsidR="00C631BF">
        <w:rPr>
          <w:rFonts w:cs="Sylfaen"/>
          <w:lang w:val="ka-GE"/>
        </w:rPr>
        <w:t>ა</w:t>
      </w:r>
      <w:r w:rsidR="00750CA4">
        <w:rPr>
          <w:rFonts w:cs="Sylfaen"/>
          <w:lang w:val="ka-GE"/>
        </w:rPr>
        <w:t>რ</w:t>
      </w:r>
      <w:r w:rsidR="00C631BF">
        <w:rPr>
          <w:rFonts w:cs="Sylfaen"/>
          <w:lang w:val="ka-GE"/>
        </w:rPr>
        <w:t>ი</w:t>
      </w:r>
      <w:r w:rsidR="00750CA4">
        <w:rPr>
          <w:rFonts w:cs="Sylfaen"/>
          <w:lang w:val="ka-GE"/>
        </w:rPr>
        <w:t>ნ</w:t>
      </w:r>
      <w:r w:rsidR="00C631BF">
        <w:rPr>
          <w:rFonts w:cs="Sylfaen"/>
          <w:lang w:val="ka-GE"/>
        </w:rPr>
        <w:t>ის ქ.29ა. წარმოდგენლი ნიმუშები უნდა იყოს დანართ N1-ში მოცემული საქონლის მინიმუმ 1 ცალი/შეკვრა/ყუთი.</w:t>
      </w:r>
    </w:p>
    <w:p w14:paraId="759FEB8B" w14:textId="51D3A396" w:rsidR="00C631BF" w:rsidRPr="00555C62" w:rsidRDefault="00C631B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>
        <w:rPr>
          <w:rFonts w:cs="Sylfaen"/>
          <w:b/>
          <w:lang w:val="ka-GE"/>
        </w:rPr>
        <w:t xml:space="preserve">შეკვეთის მოცულობა: </w:t>
      </w:r>
      <w:r>
        <w:rPr>
          <w:rFonts w:cs="Sylfaen"/>
          <w:lang w:val="ka-GE"/>
        </w:rPr>
        <w:t xml:space="preserve">დანართ N1-ში მოცემულია საქონლის წლიური </w:t>
      </w:r>
      <w:r w:rsidRPr="00C631BF">
        <w:rPr>
          <w:rFonts w:cs="Sylfaen"/>
          <w:b/>
          <w:lang w:val="ka-GE"/>
        </w:rPr>
        <w:t>სავარაუდო</w:t>
      </w:r>
      <w:r>
        <w:rPr>
          <w:rFonts w:cs="Sylfaen"/>
          <w:lang w:val="ka-GE"/>
        </w:rPr>
        <w:t xml:space="preserve"> შესასყიდი რაოდენობა, რომელიც </w:t>
      </w:r>
      <w:r w:rsidRPr="00C631BF">
        <w:rPr>
          <w:rFonts w:cs="Sylfaen"/>
          <w:u w:val="single"/>
          <w:lang w:val="ka-GE"/>
        </w:rPr>
        <w:t>შეიძლება შემცირდეს ან გაიზარდოს</w:t>
      </w:r>
      <w:r>
        <w:rPr>
          <w:rFonts w:cs="Sylfaen"/>
          <w:lang w:val="ka-GE"/>
        </w:rPr>
        <w:t xml:space="preserve"> ბანკის მოთხოვნიდან გამომდინარე.</w:t>
      </w:r>
    </w:p>
    <w:p w14:paraId="7E782999" w14:textId="48B2F390" w:rsidR="00555C62" w:rsidRPr="00C631BF" w:rsidRDefault="00555C62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>
        <w:rPr>
          <w:rFonts w:cs="Sylfaen"/>
          <w:b/>
          <w:lang w:val="ka-GE"/>
        </w:rPr>
        <w:t>არასტანდარტული საკანცელარიო საქონელი:</w:t>
      </w:r>
      <w:r>
        <w:rPr>
          <w:rFonts w:asciiTheme="minorHAnsi" w:hAnsiTheme="minorHAnsi" w:cs="Times New Roman"/>
          <w:b/>
          <w:lang w:val="ka-GE"/>
        </w:rPr>
        <w:t xml:space="preserve"> </w:t>
      </w:r>
      <w:r w:rsidRPr="00555C62">
        <w:rPr>
          <w:rFonts w:cs="Sylfaen"/>
          <w:lang w:val="ka-GE"/>
        </w:rPr>
        <w:t>ხელშეკრულების ფარგლებში შესაძლოა მოხდეს ისეთი საქონლის შეკვეთა რომელიც არ არის დანართ N1-ში არსებულ საკანცელარიო საქონლის ნუსხაში. მომწოდებელი იღებს ვალდებულებას ბანკის მოთხოვნის შემთხვევაშ</w:t>
      </w:r>
      <w:r w:rsidR="00DD5AF9">
        <w:rPr>
          <w:rFonts w:cs="Sylfaen"/>
          <w:lang w:val="ka-GE"/>
        </w:rPr>
        <w:t>ი</w:t>
      </w:r>
      <w:r w:rsidRPr="00555C62">
        <w:rPr>
          <w:rFonts w:cs="Sylfaen"/>
          <w:lang w:val="ka-GE"/>
        </w:rPr>
        <w:t xml:space="preserve"> მოახდინოს ამგვარი საქონლის მოძიება და მოწოდება წინასწარ შეთანხმებული ფასით;</w:t>
      </w:r>
    </w:p>
    <w:p w14:paraId="3ABFE7C0" w14:textId="77777777" w:rsidR="00C631BF" w:rsidRPr="009C330E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ascii="Times New Roman" w:hAnsi="Times New Roman" w:cs="Times New Roman"/>
        </w:rPr>
        <w:t>2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შესაბამის სფეროში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0F3D38FC" w14:textId="64EBF666" w:rsidR="00C631BF" w:rsidRPr="00C631BF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წერილი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რეზიდენტი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გაცემული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asciiTheme="minorHAnsi" w:hAnsiTheme="minorHAnsi" w:cs="Times New Roman"/>
          <w:lang w:val="ka-GE"/>
        </w:rPr>
        <w:t>2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წერილი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lastRenderedPageBreak/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64CBEB49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71ADB">
        <w:rPr>
          <w:rFonts w:cs="Sylfaen"/>
          <w:lang w:val="ka-GE"/>
        </w:rPr>
        <w:t>საქონლის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დანართ</w:t>
      </w:r>
      <w:r w:rsidR="0002474C" w:rsidRPr="009C330E">
        <w:rPr>
          <w:rFonts w:ascii="Times New Roman" w:hAnsi="Times New Roman" w:cs="Times New Roman"/>
          <w:lang w:val="ka-GE"/>
        </w:rPr>
        <w:t xml:space="preserve"> N1-</w:t>
      </w:r>
      <w:r w:rsidR="0002474C" w:rsidRPr="009C330E">
        <w:rPr>
          <w:rFonts w:cs="Sylfaen"/>
          <w:lang w:val="ka-GE"/>
        </w:rPr>
        <w:t>ში</w:t>
      </w:r>
      <w:r w:rsidR="00AA5B20">
        <w:rPr>
          <w:rFonts w:ascii="Times New Roman" w:hAnsi="Times New Roman" w:cs="Times New Roman"/>
          <w:lang w:val="ka-GE"/>
        </w:rPr>
        <w:t>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D1B4C1C" w14:textId="567AC22B" w:rsidR="00C23732" w:rsidRPr="00510DA7" w:rsidRDefault="00C23732" w:rsidP="00C2373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C23732">
        <w:rPr>
          <w:rFonts w:cs="Sylfaen"/>
          <w:lang w:val="ka-GE"/>
        </w:rPr>
        <w:t>გამარჯვებულმა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კომპანიამ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უნდა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მოგვაწოდოს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ყველა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საქონელზე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კატალოგი</w:t>
      </w:r>
      <w:r w:rsidR="00D4287C">
        <w:rPr>
          <w:rFonts w:cs="Sylfaen"/>
          <w:lang w:val="ka-GE"/>
        </w:rPr>
        <w:t xml:space="preserve"> ფოტოსურათებით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ექსელის</w:t>
      </w:r>
      <w:r w:rsidR="00263603">
        <w:rPr>
          <w:rFonts w:cs="Sylfaen"/>
          <w:lang w:val="ka-GE"/>
        </w:rPr>
        <w:t xml:space="preserve"> ან/და </w:t>
      </w:r>
      <w:r w:rsidR="00263603">
        <w:rPr>
          <w:rFonts w:cs="Sylfaen"/>
        </w:rPr>
        <w:t>PDF</w:t>
      </w:r>
      <w:r w:rsidRPr="00C23732">
        <w:rPr>
          <w:rFonts w:ascii="Times New Roman" w:hAnsi="Times New Roman" w:cs="Times New Roman"/>
          <w:lang w:val="ka-GE"/>
        </w:rPr>
        <w:t xml:space="preserve"> </w:t>
      </w:r>
      <w:r w:rsidRPr="00C23732">
        <w:rPr>
          <w:rFonts w:cs="Sylfaen"/>
          <w:lang w:val="ka-GE"/>
        </w:rPr>
        <w:t>ფორმატით</w:t>
      </w:r>
      <w:r w:rsidRPr="00C23732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3ED899C2" w14:textId="77777777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 N1:</w:t>
      </w:r>
    </w:p>
    <w:p w14:paraId="1AFC7074" w14:textId="77777777" w:rsidR="00510DA7" w:rsidRPr="00AA7C5D" w:rsidRDefault="00510DA7" w:rsidP="00510DA7">
      <w:pPr>
        <w:pStyle w:val="ListParagraph"/>
        <w:numPr>
          <w:ilvl w:val="0"/>
          <w:numId w:val="23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ელექტრონულად შევსებული Excel -ის ფაილის სახით;</w:t>
      </w:r>
    </w:p>
    <w:p w14:paraId="1ACFFFC1" w14:textId="6172BFD8" w:rsidR="00510DA7" w:rsidRPr="00AA7C5D" w:rsidRDefault="00510DA7" w:rsidP="00510DA7">
      <w:pPr>
        <w:pStyle w:val="ListParagraph"/>
        <w:numPr>
          <w:ilvl w:val="0"/>
          <w:numId w:val="23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PDF ფაილის სახით, დასკანერებული და ხელმოწერილი უფლებამოსილი პირის მიერ;</w:t>
      </w:r>
    </w:p>
    <w:p w14:paraId="52E8D87F" w14:textId="2DA8B23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 N2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0A36BA08" w14:textId="3BCA21BA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სარეკომენდაციო წერილი, მინიმუმ 2 კომპანიის მიერ გაცემული</w:t>
      </w:r>
      <w:r w:rsidR="000F3791" w:rsidRPr="00AA7C5D">
        <w:rPr>
          <w:rFonts w:cs="Sylfaen"/>
          <w:lang w:val="ka-GE"/>
        </w:rPr>
        <w:t>;</w:t>
      </w:r>
    </w:p>
    <w:p w14:paraId="2DBED22A" w14:textId="547CC16C" w:rsidR="00510DA7" w:rsidRPr="00AA7C5D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7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7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30EA97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48731CA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18DCEC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8426B3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178B99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1D53410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1DF27838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9FACB8A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55F6D1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8E9AE4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A17A5C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8408CE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F6A552E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D52A8B0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171E661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440623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505BA18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C0EED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F97191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2ABBFD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1EC2FAA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CED774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D06D09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97C0D5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719759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6C0DC4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FD0438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3BB458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266D0F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D6C534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FC47F3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0509348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E2EFD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1BB1E23D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1240EC6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FB994F0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D93A881" w14:textId="77777777" w:rsidR="00DB1E38" w:rsidRPr="00DB1E38" w:rsidRDefault="00DB1E38" w:rsidP="00DB1E38">
      <w:pPr>
        <w:ind w:left="630"/>
        <w:rPr>
          <w:rFonts w:asciiTheme="minorHAnsi" w:hAnsiTheme="minorHAnsi" w:cs="Times New Roman"/>
        </w:rPr>
      </w:pPr>
    </w:p>
    <w:bookmarkEnd w:id="4"/>
    <w:p w14:paraId="28B75F3F" w14:textId="77777777" w:rsidR="007E7639" w:rsidRPr="009C330E" w:rsidRDefault="007E7639" w:rsidP="00EA5B3D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</w:p>
    <w:p w14:paraId="47B521F1" w14:textId="6D62F7DD" w:rsidR="00B54332" w:rsidRPr="009C330E" w:rsidRDefault="00E3757A" w:rsidP="00EA5B3D">
      <w:pPr>
        <w:pStyle w:val="a"/>
        <w:numPr>
          <w:ilvl w:val="0"/>
          <w:numId w:val="0"/>
        </w:numPr>
        <w:ind w:left="270" w:firstLine="360"/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  <w:bookmarkStart w:id="8" w:name="_Toc37733048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="00F27968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1: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სპეციფიკაციები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და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ფასების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ცხრილი</w:t>
      </w:r>
      <w:bookmarkEnd w:id="8"/>
    </w:p>
    <w:p w14:paraId="2C331498" w14:textId="77777777" w:rsidR="00FE1577" w:rsidRDefault="00FE1577" w:rsidP="00FE1577">
      <w:pPr>
        <w:tabs>
          <w:tab w:val="left" w:pos="708"/>
          <w:tab w:val="left" w:pos="984"/>
        </w:tabs>
        <w:jc w:val="left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ab/>
      </w:r>
    </w:p>
    <w:p w14:paraId="14DF77FB" w14:textId="77777777" w:rsidR="00FE1577" w:rsidRDefault="00FE1577" w:rsidP="00FE1577">
      <w:pPr>
        <w:tabs>
          <w:tab w:val="left" w:pos="708"/>
          <w:tab w:val="left" w:pos="984"/>
        </w:tabs>
        <w:jc w:val="left"/>
        <w:rPr>
          <w:rFonts w:asciiTheme="minorHAnsi" w:hAnsiTheme="minorHAnsi" w:cs="Times New Roman"/>
          <w:lang w:val="ka-GE"/>
        </w:rPr>
      </w:pPr>
    </w:p>
    <w:p w14:paraId="1EBDE505" w14:textId="32886C2D" w:rsidR="00FE1577" w:rsidRDefault="00FE1577" w:rsidP="00FE1577">
      <w:pPr>
        <w:tabs>
          <w:tab w:val="left" w:pos="624"/>
          <w:tab w:val="left" w:pos="708"/>
          <w:tab w:val="left" w:pos="984"/>
        </w:tabs>
        <w:ind w:left="360"/>
        <w:jc w:val="left"/>
        <w:rPr>
          <w:rFonts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ab/>
      </w:r>
      <w:r w:rsidR="003A7B5E">
        <w:rPr>
          <w:rFonts w:cs="Times New Roman"/>
          <w:lang w:val="ka-GE"/>
        </w:rPr>
        <w:t>დანართ N1 იხილეთ თანდართული</w:t>
      </w:r>
      <w:r>
        <w:rPr>
          <w:rFonts w:cs="Times New Roman"/>
          <w:lang w:val="ka-GE"/>
        </w:rPr>
        <w:t xml:space="preserve"> სატენდერო განცხადებასთან ერთად </w:t>
      </w:r>
      <w:r>
        <w:rPr>
          <w:rFonts w:cs="Times New Roman"/>
        </w:rPr>
        <w:t>Excel-</w:t>
      </w:r>
      <w:r>
        <w:rPr>
          <w:rFonts w:cs="Times New Roman"/>
          <w:lang w:val="ka-GE"/>
        </w:rPr>
        <w:t xml:space="preserve">ის ფაილის სახით, რომელიც უნდა აიტვირთოს </w:t>
      </w:r>
      <w:r w:rsidRPr="003A7B5E">
        <w:rPr>
          <w:rFonts w:cs="Times New Roman"/>
          <w:u w:val="single"/>
          <w:lang w:val="ka-GE"/>
        </w:rPr>
        <w:t>ორი ფორმით:</w:t>
      </w:r>
      <w:r>
        <w:rPr>
          <w:rFonts w:cs="Times New Roman"/>
          <w:lang w:val="ka-GE"/>
        </w:rPr>
        <w:t xml:space="preserve"> </w:t>
      </w:r>
    </w:p>
    <w:p w14:paraId="50CB595D" w14:textId="77777777" w:rsidR="009316EA" w:rsidRDefault="009316EA" w:rsidP="00FE1577">
      <w:pPr>
        <w:tabs>
          <w:tab w:val="left" w:pos="624"/>
          <w:tab w:val="left" w:pos="708"/>
          <w:tab w:val="left" w:pos="984"/>
        </w:tabs>
        <w:ind w:left="360"/>
        <w:jc w:val="left"/>
        <w:rPr>
          <w:rFonts w:cs="Times New Roman"/>
          <w:lang w:val="ka-GE"/>
        </w:rPr>
      </w:pPr>
    </w:p>
    <w:p w14:paraId="5904C772" w14:textId="0D11F698" w:rsidR="00B54332" w:rsidRDefault="00FE1577" w:rsidP="00FE1577">
      <w:pPr>
        <w:pStyle w:val="ListParagraph"/>
        <w:numPr>
          <w:ilvl w:val="0"/>
          <w:numId w:val="22"/>
        </w:numPr>
        <w:tabs>
          <w:tab w:val="left" w:pos="624"/>
          <w:tab w:val="left" w:pos="708"/>
          <w:tab w:val="left" w:pos="984"/>
        </w:tabs>
        <w:jc w:val="left"/>
        <w:rPr>
          <w:rFonts w:cs="Times New Roman"/>
          <w:lang w:val="ka-GE"/>
        </w:rPr>
      </w:pPr>
      <w:r w:rsidRPr="00FE1577">
        <w:rPr>
          <w:rFonts w:cs="Times New Roman"/>
          <w:lang w:val="ka-GE"/>
        </w:rPr>
        <w:t>ელექტრონულად შევსებული Excel -ის ფა</w:t>
      </w:r>
      <w:r>
        <w:rPr>
          <w:rFonts w:cs="Times New Roman"/>
          <w:lang w:val="ka-GE"/>
        </w:rPr>
        <w:t>ილის სახით</w:t>
      </w:r>
      <w:r w:rsidR="003A7B5E">
        <w:rPr>
          <w:rFonts w:cs="Times New Roman"/>
          <w:lang w:val="ka-GE"/>
        </w:rPr>
        <w:t>;</w:t>
      </w:r>
    </w:p>
    <w:p w14:paraId="2CCF9F34" w14:textId="052DE776" w:rsidR="00FE1577" w:rsidRPr="00FE1577" w:rsidRDefault="00FE1577" w:rsidP="00FE1577">
      <w:pPr>
        <w:pStyle w:val="ListParagraph"/>
        <w:numPr>
          <w:ilvl w:val="0"/>
          <w:numId w:val="22"/>
        </w:numPr>
        <w:tabs>
          <w:tab w:val="left" w:pos="624"/>
          <w:tab w:val="left" w:pos="708"/>
          <w:tab w:val="left" w:pos="984"/>
        </w:tabs>
        <w:jc w:val="left"/>
        <w:rPr>
          <w:rFonts w:cs="Times New Roman"/>
          <w:lang w:val="ka-GE"/>
        </w:rPr>
      </w:pPr>
      <w:r>
        <w:rPr>
          <w:rFonts w:cs="Times New Roman"/>
        </w:rPr>
        <w:t xml:space="preserve">PDF </w:t>
      </w:r>
      <w:r>
        <w:rPr>
          <w:rFonts w:cs="Times New Roman"/>
          <w:lang w:val="ka-GE"/>
        </w:rPr>
        <w:t>ფაილის სახით, დასკანერებული და ხელმოწერილი უფლებამოსილი პირის მიერ</w:t>
      </w:r>
      <w:r w:rsidR="003A7B5E">
        <w:rPr>
          <w:rFonts w:cs="Times New Roman"/>
          <w:lang w:val="ka-GE"/>
        </w:rPr>
        <w:t>;</w:t>
      </w:r>
    </w:p>
    <w:p w14:paraId="27645288" w14:textId="6EFA767D" w:rsidR="00B54332" w:rsidRPr="00FE1577" w:rsidRDefault="00FE1577" w:rsidP="00FE1577">
      <w:pPr>
        <w:tabs>
          <w:tab w:val="left" w:pos="612"/>
        </w:tabs>
        <w:jc w:val="left"/>
        <w:rPr>
          <w:rFonts w:asciiTheme="minorHAnsi" w:hAnsiTheme="minorHAnsi" w:cs="Times New Roman"/>
          <w:sz w:val="16"/>
          <w:lang w:val="ka-GE"/>
        </w:rPr>
      </w:pPr>
      <w:r>
        <w:rPr>
          <w:rFonts w:asciiTheme="minorHAnsi" w:hAnsiTheme="minorHAnsi" w:cs="Times New Roman"/>
          <w:sz w:val="8"/>
          <w:lang w:val="ka-GE"/>
        </w:rPr>
        <w:tab/>
      </w:r>
    </w:p>
    <w:p w14:paraId="17C3E79F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51996A85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5984D28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ED4AD08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7FFED9E7" w14:textId="77777777" w:rsidR="00FE1577" w:rsidRP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2A884CDE" w14:textId="3A418E69" w:rsidR="00B54332" w:rsidRPr="007039B7" w:rsidRDefault="00B54332" w:rsidP="007039B7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239F25BC" w:rsidR="00B54332" w:rsidRPr="009C330E" w:rsidRDefault="00B54332" w:rsidP="002B26E0">
      <w:pPr>
        <w:ind w:left="630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733A0B1E" w14:textId="69071AEF" w:rsidR="00C543C0" w:rsidRDefault="00C543C0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354CCA8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E02005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0DD41A5F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D045F4B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4BC87D3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579617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C9C863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BD6CFF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AF50FAC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4667044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91B62D1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AAADC05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7C77B76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3AD8614B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A1944C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6713C0C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1196E7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7AF26AA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56B2F61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C05A476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F82FF0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0F7ED0A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0F16EB70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D52E29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FCB3F20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3419619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6283770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FE3B54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4DAE4CB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32C20636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875178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F13EAE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A26C85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CE00B65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5A21E31A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1124C3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6039A4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3434328" w14:textId="77777777" w:rsidR="00195F5E" w:rsidRP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9C330E" w:rsidRDefault="007B085E" w:rsidP="00C525A4">
      <w:pPr>
        <w:pStyle w:val="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BDF7306" w14:textId="561DF21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9" w:name="_Toc37733049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2: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9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D052" w14:textId="77777777" w:rsidR="008E2BDA" w:rsidRDefault="008E2BDA" w:rsidP="002E7950">
      <w:r>
        <w:separator/>
      </w:r>
    </w:p>
  </w:endnote>
  <w:endnote w:type="continuationSeparator" w:id="0">
    <w:p w14:paraId="1A63143B" w14:textId="77777777" w:rsidR="008E2BDA" w:rsidRDefault="008E2B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A7C5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A7C5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C54B" w14:textId="77777777" w:rsidR="008E2BDA" w:rsidRDefault="008E2BDA" w:rsidP="002E7950">
      <w:r>
        <w:separator/>
      </w:r>
    </w:p>
  </w:footnote>
  <w:footnote w:type="continuationSeparator" w:id="0">
    <w:p w14:paraId="3A0426A5" w14:textId="77777777" w:rsidR="008E2BDA" w:rsidRDefault="008E2B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19"/>
  </w:num>
  <w:num w:numId="15">
    <w:abstractNumId w:val="6"/>
  </w:num>
  <w:num w:numId="16">
    <w:abstractNumId w:val="13"/>
  </w:num>
  <w:num w:numId="17">
    <w:abstractNumId w:val="0"/>
  </w:num>
  <w:num w:numId="18">
    <w:abstractNumId w:val="0"/>
  </w:num>
  <w:num w:numId="19">
    <w:abstractNumId w:val="20"/>
  </w:num>
  <w:num w:numId="20">
    <w:abstractNumId w:val="16"/>
  </w:num>
  <w:num w:numId="21">
    <w:abstractNumId w:val="8"/>
  </w:num>
  <w:num w:numId="22">
    <w:abstractNumId w:val="7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677EA81-02FB-43E1-9F0A-BFF57D3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700E6B-96D8-474E-9691-9B40C0EE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20</cp:revision>
  <cp:lastPrinted>2019-10-17T14:03:00Z</cp:lastPrinted>
  <dcterms:created xsi:type="dcterms:W3CDTF">2020-05-14T07:02:00Z</dcterms:created>
  <dcterms:modified xsi:type="dcterms:W3CDTF">2020-05-25T14:59:00Z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